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afe6ca8b9c54b2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49341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CIPELICA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3.296.650,03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3.949.999,18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3.238.387,82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4.260.725,35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310.726,17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37.855,33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24.104,04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334.830,21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skladu s odredbama Pravilnika o financijskom izvještavanju u proračunskom računovodstvu (NN 37/22, 52/25 i 156/25), Pravilnika o proračunskom računovodstvu i Računskom planu (NN 158/23 i 154/24)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i druge aktualnosti (KLASA: 400-02/25-01/14, URBROJ: 513-17-01-26-5), sastavljen je Financijski izvještaj Dječjeg vrtića Cipelica za razdoblje siječanj – prosinac 2025. godine koji se sastoji od: Bilance, Izvještaja o prihodima i rashodima, primicima i izdacima, Izvještaja o promjenama u vrijednosti i obujmu imovine i obveza, Izvještaja o rashodima prema funkcijskoj klasifikaciji, Izvještaja o obvezama i  Bilješki uz financijske izvještaje. Dječji vrtić Cipelica je proračunski korisnik jedinice lokalne i područne (regionalne) samouprave, odgojno-obrazovna ustanova osnovana za obavljanje djelatnosti predškolskog odgoja i obrazovanja. Dječji vrtić Cipelica je u razdoblju od 01.01.2025. do 31.12.2025. godine ostvario ukupne prihode u iznosu 3.949.999,18 € i ukupne rashode u iznosu 4.260.725,35 €. Rashodi za nabavu nefinancijske imovine ostvareni su u iznosu 24.104,04 €. Ostvareni je manjak prihoda nad rashodima u iznosu 310.726,17 € i manjak prihoda od nefinancijske imovine od 24.104,04 €, slijedom čega je na kraju izvještajnog razdoblja ostvaren ukupan manjak prihoda i primitaka u iznosu 334.830,21 €. Nastali manjak najvećim dijelom se odnosi na plaću i ostale rashode za zaposlene za prosinac 2025. godine, odnosno na trinaesti rashod, sukladno ukidanju kontinuiranih rashoda, dakle predstavlja metodološki manjak.</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Pomoći od izvanproračunskih korisnika odnose se na prihode od Hrvatskog zavoda za zapošljavanje, ostvarene temeljem ugovora o (su)financiranju zapošljavanja u javnom radu.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200.213,68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201.489,18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pPr>
        <w:jc w:val="both"/>
      </w:pPr>
      <w:r>
        <w:t xml:space="preserve">Prihodi koje ostvarujemo od Ministarstva znanosti, obrazovanja i mladih sufinanciranjem javnih potreba za djecu s teškoćama u razvoju-integracija, darovitu djecu, djecu pripadnike nacionalnih manjina i djecu u programu predškole. Ministarstvo znanosti, obrazovanja i mladih sufinancira i roditeljski udio u cijeni predškolskog odgoja za djecu pripadnike romske nacionalne manjine, gdje su prihodi povećani u odnosu na prošlu godinu jer ove pedagoške godine imamo veći broj djece polaznika (veza 63612). Prihodi od vanjskih općina koje sufinanciraju svoje polaznike, manji su zbog manjeg broja upisane djece iz vanjskih općina (veza 63613).</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w:t>
            </w:r>
          </w:p>
        </w:tc>
      </w:tr>
    </w:tbl>
    <w:p>
      <w:pPr>
        <w:spacing w:before="0" w:after="0"/>
      </w:pPr>
    </w:p>
    <w:p>
      <w:pPr>
        <w:jc w:val="both"/>
      </w:pPr>
      <w:r>
        <w:t xml:space="preserve">Prihodi se odnose na projekte po javnom pozivu koje sufinanciraju mjesni odbori i društvene djelatnosti Grada te je isplaćeno 100% ugovorenih sredstava za provedbu projekata. U 2025. godini prijavljeno je i odobreno više projekata nego prošle godine. Također smo po natječaju NAJ-AKCIJA ostvarili sredstva, koja su uplaćena sukladno Ugovoru.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pPr>
        <w:jc w:val="both"/>
      </w:pPr>
      <w:r>
        <w:t xml:space="preserve">Prihodi od financijske imovine, odnosno kamate na depozite po viđenju, manje su u odnosu na prošlu godinu zbog manjih kamatnih stopa.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530.227,95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484.310,91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pPr>
        <w:jc w:val="both"/>
      </w:pPr>
      <w:r>
        <w:t xml:space="preserve">Prihodi se odnose na roditeljski udio cijene usluge jaslica i vrtića. Navedeni prihodi ostvareni su u nešto manjem omjeru nego prošle godine, sukladno demografskim mjerama Grada. Također smo zaprimili uplate Učiteljskog fakulteta za rad mentora u vježbaonicama za zimski i ljetni semestar.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pPr>
        <w:jc w:val="both"/>
      </w:pPr>
      <w:r>
        <w:t xml:space="preserve">Prihodi od prodaje proizvoda i robe te pruženih usluga odnose se na tople obroke radnika i prihode od zakupa prostora.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361,6</w:t>
            </w:r>
          </w:p>
        </w:tc>
      </w:tr>
    </w:tbl>
    <w:p>
      <w:pPr>
        <w:spacing w:before="0" w:after="0"/>
      </w:pPr>
    </w:p>
    <w:p>
      <w:r>
        <w:t xml:space="preserve">Prihodi od donacija odnose se na zaprimljene donacije od Inner Wheel kluba Čakovec, Rotary kluba Čakovec i poduzeća Šareni kutak d.o.o. i Autoset Turek d.o.o., te od fizičkih osoba.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2.520.103,41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3.202.317,79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bl>
    <w:p>
      <w:pPr>
        <w:spacing w:before="0" w:after="0"/>
      </w:pPr>
    </w:p>
    <w:p>
      <w:pPr>
        <w:jc w:val="both"/>
      </w:pPr>
      <w:r>
        <w:t xml:space="preserve">Prihodi iz nadležnog proračuna za financiranje redovne djelatnosti povećani su u odnosu na godinu ranije za 28,2%, dok prihode za financiranje rashoda za nabavu nefinancijske imovine ove godine nismo imali. Povećanje se odnosi na povećanje rashoda za plaću, sukladno povećanju osnovice koja je izjednačena sa osnovicom za obračun plaća državnih službenika i namještenika i potpisanim II. Izmjenama i dopunama Kolektivnog ugovora.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3.238.387,82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4.260.725,35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pPr>
        <w:jc w:val="both"/>
      </w:pPr>
      <w:r>
        <w:t xml:space="preserve">Ukupni rashodi ostvareni u izvještajnom razdoblju značajno su veći od ostvarenog prošle godine, što je rezultat novog Pravilnika o proračunskom računovodstvu i Računskom planu, odnosno ukidanja kontinuiranih rashoda (veza 311).</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2.088.981,61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2.969.950,28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Pr>
      <w:r>
        <w:t xml:space="preserve">Rashodi za zaposlene veći su zbog navedenog Pravilnika, gdje sada s 31.12.2025. godine imamo trinaest rashoda za plaću, a ne dvanaest kao ranijih godina.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305.759,34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pPr>
        <w:jc w:val="both"/>
      </w:pPr>
      <w:r>
        <w:t xml:space="preserve">Ostali rashodi za zaposlene manji su u odnosu na godinu ranije, što je rezultat manje ostvarenih jubilarnih nagrada. Ostali rashodi za zaposlene: otpremnine (veza 31214), dar u naravi, potpore za invalidnost (veza 31215), paušalna naknada za troškove prehrane, veće su u odnosu na godinu ranije, zbog većeg broja radnika.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339.261,32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474.551,97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w:t>
            </w:r>
          </w:p>
        </w:tc>
      </w:tr>
    </w:tbl>
    <w:p>
      <w:pPr>
        <w:spacing w:before="0" w:after="0"/>
      </w:pPr>
    </w:p>
    <w:p>
      <w:r>
        <w:t xml:space="preserve">Paralelno sa povećanjem plaća povećani su i doprinosi na plaće.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119.654,21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pPr>
        <w:jc w:val="both"/>
      </w:pPr>
      <w:r>
        <w:t xml:space="preserve">Povećanje se najvećim dijelom odnosi na povećanje naknade za prijevoz na posao i s posla zbog većeg broja zaposlenih i već gore navedenih trinaest rashoda.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291.519,31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288.387,38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w:t>
            </w:r>
          </w:p>
        </w:tc>
      </w:tr>
    </w:tbl>
    <w:p>
      <w:pPr>
        <w:spacing w:before="0" w:after="0"/>
      </w:pPr>
    </w:p>
    <w:p>
      <w:pPr>
        <w:jc w:val="both"/>
      </w:pPr>
      <w:r>
        <w:t xml:space="preserve">Energenti, namirnice i materijal i sredstva za čišćenje i održavanje su očekivano porasli zbog proširenja i novih skupina u odnosu na prošlu godinu, dok je nabava sitnog inventara - didaktike i opreme za skupine manja nego prošle godine kada smo opremali novootvorene grupe.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67.979,01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88.492,58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pPr>
        <w:jc w:val="both"/>
      </w:pPr>
      <w:r>
        <w:t xml:space="preserve">Značajno  su povećane usluge tekućeg i investicijskog održavanja, što se odnosi na redovne servise, kvarove i održavanje opreme. Zdravstvene, intelektualne i osobne usluge - povećane zbog većeg broja zdravstvenih pregleda za djelatnike na poslovima s posebnim uvjetima rada prema Procjeni rizika sukladno Zakonu o zaštiti na radu, te usluge zaštite na radu. Telefonski troškovi povećani su zbog povećanja kapaciteta interneta, komunalne usluge su povećane zbog dodatnog odvajanja otpada, usluge zbrinjavanja pelena. Računalne usluge porasle su zbog izrade nove web stranice.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pPr>
        <w:jc w:val="both"/>
      </w:pPr>
      <w:r>
        <w:t xml:space="preserve">Ostali nespomenuti rashodi poslovanja su povećani zbog troškova koji se odnose na pristojbe i naknade (veza 3295) za provjeru vjerodostojnosti diploma, što smo bili dužni provesti zbog inspekcijskog nadzora.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Povećanje financijskih rashoda zbog viših cijena usluga platnog prometa i troškova otkupa e - Arhive.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56.633,34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50.594,49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w:t>
            </w:r>
          </w:p>
        </w:tc>
      </w:tr>
    </w:tbl>
    <w:p>
      <w:pPr>
        <w:spacing w:before="0" w:after="0"/>
      </w:pPr>
    </w:p>
    <w:p>
      <w:pPr>
        <w:jc w:val="both"/>
      </w:pPr>
      <w:r>
        <w:t xml:space="preserve">Nenaplaćeni obračunati prihodi odnose se na zaduženja roditeljskog udjela za polaznike jaslica i vrtića, vanjske općine i najam prostora za prosinac 2025.</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r>
    </w:tbl>
    <w:p>
      <w:pPr>
        <w:spacing w:before="0" w:after="0"/>
      </w:pPr>
    </w:p>
    <w:p>
      <w:pPr>
        <w:jc w:val="both"/>
      </w:pPr>
      <w:r>
        <w:t xml:space="preserve">Rashodi za nabavu nefinancijske imovine smanjeni su u odnosu na prošlu godinu kada smo opremali nove skupine.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 projektu NAJ AKCIJA postavljene su po objektima komunikacijske ploče. Napravljena je kompletna rekonstrukcija interneta i telefonske mreže u matičnom objektu Cipelica.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334.830,21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Ostvareni prihodi značajnije su manji od ostvarenih rashoda, što dovodi do manjka prihoda nad rashodima. Nastali manjak prvenstveno je rezultat ukidanja kontinuiranih rashoda, gdje trinaesti rashod dolazi na naplatu u siječnju 2026. kada su i ostvareni prihodi za pokriće.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329.218,03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Manjak tekuće godine uz preneseni višak iz prošle godine, predstavlja manjak prihoda za buduće razdoblje u iznosu od 329.218,03 €.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131.111,69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114.818,37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w:t>
            </w:r>
          </w:p>
        </w:tc>
      </w:tr>
    </w:tbl>
    <w:p>
      <w:pPr>
        <w:spacing w:before="0" w:after="0"/>
      </w:pPr>
    </w:p>
    <w:p>
      <w:pPr>
        <w:jc w:val="both"/>
      </w:pPr>
      <w:r>
        <w:t xml:space="preserve">Nefinancijska imovina smanjena je u odnosu na prošlu godinu kada smo opremali novootvorene skupine. Tokom godine nabavljena su osnovna sredstva u iznosu 24.104,04 €. Nakon redovnog godišnjeg otpisa u iznosu 40.397,36 €, sadašnja vrijednost nefinancijske imovine iznosi 114.818,37 €. Sitni inventar i radna odjeća nabavljena je u iznosu 20.016,67 €.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360.708,58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74.476,64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w:t>
            </w:r>
          </w:p>
        </w:tc>
      </w:tr>
    </w:tbl>
    <w:p>
      <w:pPr>
        <w:spacing w:before="0" w:after="0"/>
      </w:pPr>
    </w:p>
    <w:p>
      <w:pPr>
        <w:jc w:val="both"/>
      </w:pPr>
      <w:r>
        <w:t xml:space="preserve">Financijska imovina smanjena je u odnosu na prošlu godinu. Zbog prelaska na poslovanje preko sustava riznice, stanje novčanih sredstava u banci je 0,00 € a sredstva su prebačena na račun osnivača (veza 167).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pPr>
        <w:jc w:val="both"/>
      </w:pPr>
      <w:r>
        <w:t xml:space="preserve">Potraživanja se odnose na potraživanja za naknade koje se refundiraju, bolovanja za studeni i prosinac 2025. godine (veza 129).</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56.633,34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66.153,47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bl>
    <w:p>
      <w:pPr>
        <w:spacing w:before="0" w:after="0"/>
      </w:pPr>
    </w:p>
    <w:p>
      <w:pPr>
        <w:jc w:val="both"/>
      </w:pPr>
      <w:r>
        <w:t xml:space="preserve">Potraživanja za prihode odnose se na potraživanja od roditelja, vanjskih općina i za sredstva uplaćena u proračun prilikom prelaska na riznicu.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w:t>
            </w:r>
          </w:p>
        </w:tc>
      </w:tr>
    </w:tbl>
    <w:p>
      <w:pPr>
        <w:spacing w:before="0" w:after="0"/>
      </w:pPr>
    </w:p>
    <w:p>
      <w:pPr>
        <w:jc w:val="both"/>
      </w:pPr>
      <w:r>
        <w:t xml:space="preserve">Ispravak vrijednosti potraživanja odnosi se na potraživanja od korisnika usluga jaslica i vrtića čije je dugovanje od roka dospijeća prošlo više od dvije godine.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267.642,42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w:t>
            </w:r>
          </w:p>
        </w:tc>
      </w:tr>
    </w:tbl>
    <w:p>
      <w:pPr>
        <w:spacing w:before="0" w:after="0"/>
      </w:pPr>
    </w:p>
    <w:p>
      <w:pPr>
        <w:jc w:val="both"/>
      </w:pPr>
      <w:r>
        <w:t xml:space="preserve">Rashodi budućih razdoblja odnose se na pretplate na časopise za iduću godinu (veza 191), dok su kontinuirani rashodi ukinuti (veza 193).</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329.218,03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odnosi se najvećim dijelom na metodološki manjak, odnosno na plaću za prosinac 2025. koja dolazi na naplatu u siječnju 2026. godine kada su osigurani prihodi.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2.164.904,76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2.166.241,15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w:t>
            </w:r>
          </w:p>
        </w:tc>
      </w:tr>
    </w:tbl>
    <w:p>
      <w:pPr>
        <w:spacing w:before="0" w:after="0"/>
      </w:pPr>
    </w:p>
    <w:p>
      <w:pPr>
        <w:jc w:val="both"/>
      </w:pPr>
      <w:r>
        <w:t xml:space="preserve">Izvanbilančno se vodi vrijednost imovine dobivene na korištenje početkom obavljanja djelatnosti 1. ožujka 2016. godine - vlasništvo DV Čakovec u likvidaciji u iznosu 435.039,69 €. Zgrade dobivene na korištenje od Grada Čakovca (Aneks I Sporazumu KLASA: 023-07/21-01/50, URBROJ: 2109-100-01-21-01) i Zapisnika o primopredaji objekta DV u Slemenicama na upravljanje i korištenje DV Cipelica u svrhu obavljanja redovite djelatnosti (KLASA: 940-01/21-01/24, URBROJ: 2109-2-04-01-22-04) ukupne vrijednosti 1.710.867,97 €. Izvanbilančno se vodi i aparat za vodu, fotokopirni aparat i oprema i igračke dane na korištenje od Grada, u ukupnom iznosu 14.112,90 € (veza 99611). Izvanbilančno se vode dane zadužnice (veza 99621) u iznosu  3.327,23 € a odnose se na zadužnicu danu INA d.d. kao osiguranje plaćanja po ugovoru i zadužnicu danu Gradu u skladu s odredbama javnog poziva. Zaprimljena zadužnica (veza 99691) odnosi se na izvršenje ugovora do isteka jamstvenog roka od Stribor opreme d.o.o.</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3.276.243,15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4.284.829,39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w:t>
            </w:r>
          </w:p>
        </w:tc>
      </w:tr>
    </w:tbl>
    <w:p>
      <w:pPr>
        <w:spacing w:before="0" w:after="0"/>
      </w:pPr>
    </w:p>
    <w:p>
      <w:pPr>
        <w:jc w:val="both"/>
      </w:pPr>
      <w:r>
        <w:t xml:space="preserve">Ukupni rashodi poslovanja i rashodi za nabavu nefinancijske imovine ostvareni u 2025. godini u funkciji obrazovanja.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140.205,83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Dodatne usluge u predškolskom obrazovanju odnose se na rashode za namirnice.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40.397,36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Promjene u vrijednosti i obujmu nefinancijske imovine odnose se na smanjenje vrijednosti imovine po godišnjem otpisu - amortizaciji.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4.044.085,15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nastale obveze u 2025. godini.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353.100,18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na kraju izvještajnog razdoblja veće su od obveza na početku poslovne godine (veza V001) i najvećim dijelom se odnose na nedospjele obveze.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na kraju izvještajnog razdoblja iznosi 1.674,06 €. Dio obveza koje prelaze rok od 60 dana (veza M002) odnosi se na osporene račune u postupku usuglašavanja količina po otpremnicama. Ostale obveze (veza M001) odnose se na račune dobavljača koji zbog tehničkih razloga nisu prošli u sustavu e-Računa, zbog čega nisu mogli biti pravodobno plaćeni.</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351.426,12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zaposlene, obveze za materijalne i financijske rashode te rashode za nabavu nefinancijske imovine.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e4dc03457854b75" /></Relationships>
</file>